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Course List for </w:t>
      </w:r>
      <w:r>
        <w:rPr>
          <w:rFonts w:ascii="Times New Roman" w:cs="Times New Roman" w:eastAsia="Times New Roman" w:hAnsi="Times New Roman"/>
          <w:b/>
          <w:bCs/>
          <w:i/>
          <w:iCs/>
          <w:sz w:val="24"/>
          <w:szCs w:val="24"/>
        </w:rPr>
        <w:t>Bachelors degree</w:t>
      </w:r>
      <w:r>
        <w:rPr>
          <w:rFonts w:ascii="Times New Roman" w:cs="Times New Roman" w:eastAsia="Times New Roman" w:hAnsi="Times New Roman"/>
          <w:b/>
          <w:bCs/>
          <w:sz w:val="24"/>
          <w:szCs w:val="24"/>
        </w:rPr>
        <w:t xml:space="preserve"> in Environmental Science and </w:t>
      </w:r>
      <w:r>
        <w:rPr>
          <w:rFonts w:ascii="Times New Roman" w:cs="Times New Roman" w:eastAsia="Times New Roman" w:hAnsi="Times New Roman"/>
          <w:b/>
          <w:bCs/>
          <w:sz w:val="24"/>
          <w:szCs w:val="24"/>
        </w:rPr>
        <w:t>Environm</w:t>
      </w:r>
      <w:r>
        <w:rPr>
          <w:rFonts w:ascii="Times New Roman" w:cs="Times New Roman" w:eastAsia="Times New Roman" w:hAnsi="Times New Roman"/>
          <w:b/>
          <w:bCs/>
          <w:sz w:val="24"/>
          <w:szCs w:val="24"/>
        </w:rPr>
        <w:t xml:space="preserve">ental </w:t>
      </w:r>
      <w:r>
        <w:rPr>
          <w:rFonts w:ascii="Times New Roman" w:cs="Times New Roman" w:eastAsia="Times New Roman" w:hAnsi="Times New Roman"/>
          <w:b/>
          <w:bCs/>
          <w:sz w:val="24"/>
          <w:szCs w:val="24"/>
        </w:rPr>
        <w:t>Management</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Core Courses for all students (82 credits):</w:t>
      </w:r>
    </w:p>
    <w:tbl>
      <w:tblPr>
        <w:tblW w:w="8700" w:type="dxa"/>
        <w:tblCellSpacing w:w="7" w:type="dxa"/>
        <w:tblCellMar>
          <w:left w:w="0" w:type="dxa"/>
          <w:right w:w="0" w:type="dxa"/>
        </w:tblCellMar>
        <w:tblLook w:firstRow="0" w:lastRow="0" w:firstColumn="0" w:lastColumn="0" w:noHBand="0" w:noVBand="1"/>
      </w:tblPr>
      <w:tblGrid>
        <w:gridCol w:w="4311"/>
        <w:gridCol w:w="4389"/>
      </w:tblGrid>
      <w:tr>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CHE 101</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General Chemistry</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102</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Biology</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ECO 103</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Introduction to Economics</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MIS 105</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Introduction to Computers</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107</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Introduction to Environmental Science</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172</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Introduction to Statistics</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203/GEO 205</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Introduction to Geography</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207</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 and Health</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208</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Hazards and Disaster Management</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214</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Management</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215</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Ecology (</w:t>
            </w:r>
            <w:r>
              <w:rPr>
                <w:rFonts w:ascii="Times New Roman" w:cs="Times New Roman" w:eastAsia="Times New Roman" w:hAnsi="Times New Roman"/>
                <w:b/>
                <w:bCs/>
                <w:i/>
                <w:iCs/>
                <w:sz w:val="24"/>
                <w:szCs w:val="24"/>
              </w:rPr>
              <w:t>4 credits</w:t>
            </w:r>
            <w:r>
              <w:rPr>
                <w:rFonts w:ascii="Times New Roman" w:cs="Times New Roman" w:eastAsia="Times New Roman" w:hAnsi="Times New Roman"/>
                <w:sz w:val="24"/>
                <w:szCs w:val="24"/>
              </w:rPr>
              <w:t>)</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ENV/ECO 260</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Introduction to Environmental and Natural Resource Economics (pre-requisite: ECO/ENV 103)</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307</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Urban Environmental Management</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315</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Ethics</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316</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Geographical Information Systems</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373</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Environmental Impact </w:t>
            </w:r>
            <w:r>
              <w:rPr>
                <w:rFonts w:ascii="Times New Roman" w:cs="Times New Roman" w:eastAsia="Times New Roman" w:hAnsi="Times New Roman"/>
                <w:sz w:val="24"/>
                <w:szCs w:val="24"/>
              </w:rPr>
              <w:t>Assessment and Monitoring</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405</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Population, Poverty and Environment</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408</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Pollution Control</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409</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Policy, Planning and Politics</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410</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Integrated Water Resource Planning and Management</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414</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Waste Management</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ENV </w:t>
            </w:r>
            <w:r>
              <w:rPr>
                <w:rFonts w:ascii="Times New Roman" w:cs="Times New Roman" w:eastAsia="Times New Roman" w:hAnsi="Times New Roman"/>
                <w:sz w:val="24"/>
                <w:szCs w:val="24"/>
              </w:rPr>
              <w:t>419</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Forest Management</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425</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Ecological Economics (pre-requisite ENV 215 &amp; ENV/ECO 260)</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430</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Laws and Regulations</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455</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Research Methods</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498</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Internship</w:t>
            </w:r>
          </w:p>
        </w:tc>
      </w:tr>
      <w:tr>
        <w:tblPrEx/>
        <w:trPr>
          <w:tblCellSpacing w:w="7" w:type="dxa"/>
        </w:trPr>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499</w:t>
            </w:r>
          </w:p>
        </w:tc>
        <w:tc>
          <w:tcPr>
            <w:tcW w:w="5115" w:type="dxa"/>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Thesis</w:t>
            </w:r>
          </w:p>
        </w:tc>
      </w:tr>
    </w:tbl>
    <w:p>
      <w:pPr>
        <w:pStyle w:val="style0"/>
        <w:spacing w:before="100" w:beforeAutospacing="true" w:after="100" w:afterAutospacing="true" w:lineRule="auto" w:line="240"/>
        <w:rPr>
          <w:rFonts w:ascii="Times New Roman" w:cs="Times New Roman" w:eastAsia="Times New Roman" w:hAnsi="Times New Roman"/>
          <w:b/>
          <w:bCs/>
          <w:sz w:val="24"/>
          <w:szCs w:val="24"/>
        </w:rPr>
      </w:pPr>
    </w:p>
    <w:p>
      <w:pPr>
        <w:pStyle w:val="style0"/>
        <w:spacing w:before="100" w:beforeAutospacing="true" w:after="100" w:afterAutospacing="true" w:lineRule="auto" w:line="240"/>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Environmental Science</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This</w:t>
      </w:r>
      <w:r>
        <w:rPr>
          <w:rFonts w:ascii="Times New Roman" w:cs="Times New Roman" w:eastAsia="Times New Roman" w:hAnsi="Times New Roman"/>
          <w:sz w:val="24"/>
          <w:szCs w:val="24"/>
        </w:rPr>
        <w:t xml:space="preserve"> will introduce the students with the understanding of different environmental issues and accordingly prepares them to explore the relationships between humans and their environment in </w:t>
      </w:r>
      <w:r>
        <w:rPr>
          <w:rFonts w:ascii="Times New Roman" w:cs="Times New Roman" w:eastAsia="Times New Roman" w:hAnsi="Times New Roman"/>
          <w:sz w:val="24"/>
          <w:szCs w:val="24"/>
        </w:rPr>
        <w:t>a proactive manner. The student employs problem-solving methods, data-s</w:t>
      </w:r>
      <w:r>
        <w:rPr>
          <w:rFonts w:ascii="Times New Roman" w:cs="Times New Roman" w:eastAsia="Times New Roman" w:hAnsi="Times New Roman"/>
          <w:sz w:val="24"/>
          <w:szCs w:val="24"/>
        </w:rPr>
        <w:t>earch strategies, analysis, evaluation, and prediction in their study of complex environmental issues.</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Science Concentration Core Courses (15 credits):</w:t>
      </w:r>
    </w:p>
    <w:tbl>
      <w:tblPr>
        <w:tblW w:w="8701" w:type="dxa"/>
        <w:tblCellSpacing w:w="7" w:type="dxa"/>
        <w:tblInd w:w="-1" w:type="dxa"/>
        <w:tblCellMar>
          <w:left w:w="0" w:type="dxa"/>
          <w:right w:w="0" w:type="dxa"/>
        </w:tblCellMar>
        <w:tblLook w:firstRow="0" w:lastRow="0" w:firstColumn="0" w:lastColumn="0" w:noHBand="0" w:noVBand="1"/>
      </w:tblPr>
      <w:tblGrid>
        <w:gridCol w:w="4327"/>
        <w:gridCol w:w="23"/>
        <w:gridCol w:w="4305"/>
        <w:gridCol w:w="46"/>
      </w:tblGrid>
      <w:tr>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MAT 120</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Calculus I</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205</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Climate Change</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209</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Chemistry</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375</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Biostatistics </w:t>
            </w:r>
            <w:r>
              <w:rPr>
                <w:rFonts w:ascii="Times New Roman" w:cs="Times New Roman" w:eastAsia="Times New Roman" w:hAnsi="Times New Roman"/>
                <w:sz w:val="24"/>
                <w:szCs w:val="24"/>
              </w:rPr>
              <w:t>(pre-requisite: ENV 102 &amp; ENV 172)</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436</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Toxicology and Xenobiotics</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w:t>
            </w:r>
          </w:p>
        </w:tc>
      </w:tr>
      <w:tr>
        <w:tblPrEx/>
        <w:trPr>
          <w:tblCellSpacing w:w="7" w:type="dxa"/>
        </w:trPr>
        <w:tc>
          <w:tcPr>
            <w:tcW w:w="4329" w:type="dxa"/>
            <w:gridSpan w:val="2"/>
            <w:tcBorders/>
            <w:tcFitText w:val="false"/>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Science Concentration Elective Courses (15 credits):</w:t>
            </w:r>
          </w:p>
        </w:tc>
        <w:tc>
          <w:tcPr>
            <w:tcW w:w="4329" w:type="dxa"/>
            <w:gridSpan w:val="2"/>
            <w:tcBorders/>
            <w:tcFitText w:val="false"/>
            <w:hideMark/>
          </w:tcPr>
          <w:p>
            <w:pPr>
              <w:pStyle w:val="style0"/>
              <w:spacing w:after="0" w:lineRule="auto" w:line="240"/>
              <w:rPr>
                <w:rFonts w:ascii="Times New Roman" w:cs="Times New Roman" w:eastAsia="Times New Roman" w:hAnsi="Times New Roman"/>
                <w:sz w:val="24"/>
                <w:szCs w:val="24"/>
              </w:rPr>
            </w:pP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204</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Soil Science</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303</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Hydrology</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304</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Microbiology</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305</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Water Supply and </w:t>
            </w:r>
            <w:r>
              <w:rPr>
                <w:rFonts w:ascii="Times New Roman" w:cs="Times New Roman" w:eastAsia="Times New Roman" w:hAnsi="Times New Roman"/>
                <w:sz w:val="24"/>
                <w:szCs w:val="24"/>
              </w:rPr>
              <w:t>Treatment</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311</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Geology and Geomorphology</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312</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Biogeochemistry (pre-requisite ENV 209)</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313</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Biodiversity and the Preservation of Species</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401</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Sustainable Agriculture</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402</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Modeling</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404</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Issues in Bangladesh</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407</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Quantitative Applications in Environmental Studies</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412</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Coastal Zone Management</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413</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Groundwater Assessment</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Development and Management</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415</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Waste Treatment</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418</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Conservation and Sustainable Development</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421/ECO 486</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Energy Econ</w:t>
            </w:r>
            <w:r>
              <w:rPr>
                <w:rFonts w:ascii="Times New Roman" w:cs="Times New Roman" w:eastAsia="Times New Roman" w:hAnsi="Times New Roman"/>
                <w:sz w:val="24"/>
                <w:szCs w:val="24"/>
              </w:rPr>
              <w:t>omics and Policy</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450</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System Analysis for Environmental Planning</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495</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Environmental Research Using Geographical Information System</w:t>
            </w:r>
          </w:p>
        </w:tc>
      </w:tr>
      <w:tr>
        <w:tblPrEx/>
        <w:trPr>
          <w:tblCellSpacing w:w="7" w:type="dxa"/>
        </w:trPr>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ENV 497</w:t>
            </w:r>
          </w:p>
        </w:tc>
        <w:tc>
          <w:tcPr>
            <w:tcW w:w="4329" w:type="dxa"/>
            <w:gridSpan w:val="2"/>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Special Topic in Environmental Studies   </w:t>
            </w: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tc>
      </w:tr>
      <w:tr>
        <w:tblPrEx>
          <w:tblBorders>
            <w:top w:val="outset" w:sz="6" w:space="0" w:color="auto"/>
            <w:left w:val="outset" w:sz="6" w:space="0" w:color="auto"/>
            <w:bottom w:val="outset" w:sz="6" w:space="0" w:color="auto"/>
            <w:right w:val="outset" w:sz="6" w:space="0" w:color="auto"/>
          </w:tblBorders>
          <w:tblCellSpacing w:w="0" w:type="dxa"/>
        </w:tblPrEx>
        <w:trPr>
          <w:gridAfter w:val="1"/>
          <w:tblCellSpacing w:w="0" w:type="dxa"/>
        </w:trPr>
        <w:tc>
          <w:tcPr>
            <w:tcW w:w="4306" w:type="dxa"/>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Core Courses</w:t>
            </w:r>
          </w:p>
        </w:tc>
        <w:tc>
          <w:tcPr>
            <w:tcW w:w="4314" w:type="dxa"/>
            <w:gridSpan w:val="2"/>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jc w:val="center"/>
              <w:rPr>
                <w:rFonts w:ascii="Times New Roman" w:cs="Times New Roman" w:eastAsia="Times New Roman" w:hAnsi="Times New Roman"/>
                <w:sz w:val="24"/>
                <w:szCs w:val="24"/>
              </w:rPr>
            </w:pPr>
            <w:r>
              <w:rPr>
                <w:rFonts w:ascii="Times New Roman" w:cs="Times New Roman" w:eastAsia="Times New Roman" w:hAnsi="Times New Roman"/>
                <w:b/>
                <w:bCs/>
                <w:sz w:val="24"/>
                <w:szCs w:val="24"/>
              </w:rPr>
              <w:t>82</w:t>
            </w:r>
          </w:p>
        </w:tc>
      </w:tr>
      <w:tr>
        <w:tblPrEx>
          <w:tblBorders>
            <w:top w:val="outset" w:sz="6" w:space="0" w:color="auto"/>
            <w:left w:val="outset" w:sz="6" w:space="0" w:color="auto"/>
            <w:bottom w:val="outset" w:sz="6" w:space="0" w:color="auto"/>
            <w:right w:val="outset" w:sz="6" w:space="0" w:color="auto"/>
          </w:tblBorders>
          <w:tblCellSpacing w:w="0" w:type="dxa"/>
        </w:tblPrEx>
        <w:trPr>
          <w:gridAfter w:val="1"/>
          <w:tblCellSpacing w:w="0" w:type="dxa"/>
        </w:trPr>
        <w:tc>
          <w:tcPr>
            <w:tcW w:w="4306" w:type="dxa"/>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Concentration Core Courses</w:t>
            </w:r>
          </w:p>
        </w:tc>
        <w:tc>
          <w:tcPr>
            <w:tcW w:w="4314" w:type="dxa"/>
            <w:gridSpan w:val="2"/>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jc w:val="center"/>
              <w:rPr>
                <w:rFonts w:ascii="Times New Roman" w:cs="Times New Roman" w:eastAsia="Times New Roman" w:hAnsi="Times New Roman"/>
                <w:sz w:val="24"/>
                <w:szCs w:val="24"/>
              </w:rPr>
            </w:pPr>
            <w:r>
              <w:rPr>
                <w:rFonts w:ascii="Times New Roman" w:cs="Times New Roman" w:eastAsia="Times New Roman" w:hAnsi="Times New Roman"/>
                <w:b/>
                <w:bCs/>
                <w:sz w:val="24"/>
                <w:szCs w:val="24"/>
              </w:rPr>
              <w:t>15</w:t>
            </w:r>
          </w:p>
        </w:tc>
      </w:tr>
      <w:tr>
        <w:tblPrEx>
          <w:tblBorders>
            <w:top w:val="outset" w:sz="6" w:space="0" w:color="auto"/>
            <w:left w:val="outset" w:sz="6" w:space="0" w:color="auto"/>
            <w:bottom w:val="outset" w:sz="6" w:space="0" w:color="auto"/>
            <w:right w:val="outset" w:sz="6" w:space="0" w:color="auto"/>
          </w:tblBorders>
          <w:tblCellSpacing w:w="0" w:type="dxa"/>
        </w:tblPrEx>
        <w:trPr>
          <w:gridAfter w:val="1"/>
          <w:tblCellSpacing w:w="0" w:type="dxa"/>
        </w:trPr>
        <w:tc>
          <w:tcPr>
            <w:tcW w:w="4306" w:type="dxa"/>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Concentration Elective Courses       </w:t>
            </w:r>
          </w:p>
        </w:tc>
        <w:tc>
          <w:tcPr>
            <w:tcW w:w="4314" w:type="dxa"/>
            <w:gridSpan w:val="2"/>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jc w:val="center"/>
              <w:rPr>
                <w:rFonts w:ascii="Times New Roman" w:cs="Times New Roman" w:eastAsia="Times New Roman" w:hAnsi="Times New Roman"/>
                <w:sz w:val="24"/>
                <w:szCs w:val="24"/>
              </w:rPr>
            </w:pPr>
            <w:r>
              <w:rPr>
                <w:rFonts w:ascii="Times New Roman" w:cs="Times New Roman" w:eastAsia="Times New Roman" w:hAnsi="Times New Roman"/>
                <w:b/>
                <w:bCs/>
                <w:sz w:val="24"/>
                <w:szCs w:val="24"/>
              </w:rPr>
              <w:t>15</w:t>
            </w:r>
          </w:p>
        </w:tc>
      </w:tr>
      <w:tr>
        <w:tblPrEx>
          <w:tblBorders>
            <w:top w:val="outset" w:sz="6" w:space="0" w:color="auto"/>
            <w:left w:val="outset" w:sz="6" w:space="0" w:color="auto"/>
            <w:bottom w:val="outset" w:sz="6" w:space="0" w:color="auto"/>
            <w:right w:val="outset" w:sz="6" w:space="0" w:color="auto"/>
          </w:tblBorders>
          <w:tblCellSpacing w:w="0" w:type="dxa"/>
        </w:tblPrEx>
        <w:trPr>
          <w:gridAfter w:val="1"/>
          <w:tblCellSpacing w:w="0" w:type="dxa"/>
        </w:trPr>
        <w:tc>
          <w:tcPr>
            <w:tcW w:w="4306" w:type="dxa"/>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GED Courses</w:t>
            </w:r>
          </w:p>
        </w:tc>
        <w:tc>
          <w:tcPr>
            <w:tcW w:w="4314" w:type="dxa"/>
            <w:gridSpan w:val="2"/>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(incl. ENG 103 &amp; ENG 105)                             12</w:t>
            </w:r>
          </w:p>
        </w:tc>
      </w:tr>
      <w:tr>
        <w:tblPrEx>
          <w:tblBorders>
            <w:top w:val="outset" w:sz="6" w:space="0" w:color="auto"/>
            <w:left w:val="outset" w:sz="6" w:space="0" w:color="auto"/>
            <w:bottom w:val="outset" w:sz="6" w:space="0" w:color="auto"/>
            <w:right w:val="outset" w:sz="6" w:space="0" w:color="auto"/>
          </w:tblBorders>
          <w:tblCellSpacing w:w="0" w:type="dxa"/>
        </w:tblPrEx>
        <w:trPr>
          <w:gridAfter w:val="1"/>
          <w:tblCellSpacing w:w="0" w:type="dxa"/>
        </w:trPr>
        <w:tc>
          <w:tcPr>
            <w:tcW w:w="4306" w:type="dxa"/>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Open Elective Courses</w:t>
            </w:r>
          </w:p>
        </w:tc>
        <w:tc>
          <w:tcPr>
            <w:tcW w:w="4314" w:type="dxa"/>
            <w:gridSpan w:val="2"/>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jc w:val="center"/>
              <w:rPr>
                <w:rFonts w:ascii="Times New Roman" w:cs="Times New Roman" w:eastAsia="Times New Roman" w:hAnsi="Times New Roman"/>
                <w:sz w:val="24"/>
                <w:szCs w:val="24"/>
              </w:rPr>
            </w:pPr>
            <w:r>
              <w:rPr>
                <w:rFonts w:ascii="Times New Roman" w:cs="Times New Roman" w:eastAsia="Times New Roman" w:hAnsi="Times New Roman"/>
                <w:b/>
                <w:bCs/>
                <w:sz w:val="24"/>
                <w:szCs w:val="24"/>
              </w:rPr>
              <w:t>06</w:t>
            </w:r>
          </w:p>
        </w:tc>
      </w:tr>
      <w:tr>
        <w:tblPrEx>
          <w:tblBorders>
            <w:top w:val="outset" w:sz="6" w:space="0" w:color="auto"/>
            <w:left w:val="outset" w:sz="6" w:space="0" w:color="auto"/>
            <w:bottom w:val="outset" w:sz="6" w:space="0" w:color="auto"/>
            <w:right w:val="outset" w:sz="6" w:space="0" w:color="auto"/>
          </w:tblBorders>
          <w:tblCellSpacing w:w="0" w:type="dxa"/>
        </w:tblPrEx>
        <w:trPr>
          <w:gridAfter w:val="1"/>
          <w:tblCellSpacing w:w="0" w:type="dxa"/>
        </w:trPr>
        <w:tc>
          <w:tcPr>
            <w:tcW w:w="4306" w:type="dxa"/>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Total</w:t>
            </w:r>
          </w:p>
        </w:tc>
        <w:tc>
          <w:tcPr>
            <w:tcW w:w="4314" w:type="dxa"/>
            <w:gridSpan w:val="2"/>
            <w:tcBorders>
              <w:top w:val="outset" w:sz="6" w:space="0" w:color="auto"/>
              <w:left w:val="outset" w:sz="6" w:space="0" w:color="auto"/>
              <w:bottom w:val="outset" w:sz="6" w:space="0" w:color="auto"/>
              <w:right w:val="outset" w:sz="6" w:space="0" w:color="auto"/>
            </w:tcBorders>
            <w:tcFitText w:val="false"/>
            <w:hideMark/>
          </w:tcPr>
          <w:p>
            <w:pPr>
              <w:pStyle w:val="style0"/>
              <w:spacing w:before="100" w:beforeAutospacing="true" w:after="100" w:afterAutospacing="true" w:lineRule="auto" w:line="240"/>
              <w:jc w:val="center"/>
              <w:rPr>
                <w:rFonts w:ascii="Times New Roman" w:cs="Times New Roman" w:eastAsia="Times New Roman" w:hAnsi="Times New Roman"/>
                <w:sz w:val="24"/>
                <w:szCs w:val="24"/>
              </w:rPr>
            </w:pPr>
            <w:r>
              <w:rPr>
                <w:rFonts w:ascii="Times New Roman" w:cs="Times New Roman" w:eastAsia="Times New Roman" w:hAnsi="Times New Roman"/>
                <w:b/>
                <w:bCs/>
                <w:sz w:val="24"/>
                <w:szCs w:val="24"/>
              </w:rPr>
              <w:t>130</w:t>
            </w:r>
          </w:p>
        </w:tc>
      </w:tr>
    </w:tbl>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Old information before 07-08-2014</w:t>
      </w:r>
    </w:p>
    <w:p>
      <w:pPr>
        <w:pStyle w:val="style0"/>
        <w:spacing w:after="0" w:lineRule="auto" w:line="240"/>
        <w:rPr/>
      </w:pPr>
    </w:p>
    <w:p>
      <w:pPr>
        <w:pStyle w:val="style0"/>
        <w:spacing w:before="100" w:beforeAutospacing="true" w:after="100" w:afterAutospacing="true" w:lineRule="auto" w:line="240"/>
        <w:rPr>
          <w:rFonts w:ascii="Verdana" w:cs="Times New Roman" w:eastAsia="Times New Roman" w:hAnsi="Verdana"/>
          <w:color w:val="333333"/>
          <w:sz w:val="18"/>
          <w:szCs w:val="18"/>
        </w:rPr>
      </w:pPr>
      <w:r>
        <w:rPr>
          <w:rFonts w:ascii="Verdana" w:cs="Times New Roman" w:eastAsia="Times New Roman" w:hAnsi="Verdana"/>
          <w:b/>
          <w:bCs/>
          <w:color w:val="333333"/>
          <w:sz w:val="18"/>
          <w:szCs w:val="18"/>
        </w:rPr>
        <w:t>Environmental Management</w:t>
      </w:r>
    </w:p>
    <w:p>
      <w:pPr>
        <w:pStyle w:val="style0"/>
        <w:spacing w:before="100" w:beforeAutospacing="true" w:after="100" w:afterAutospacing="true" w:lineRule="auto" w:line="240"/>
        <w:rPr>
          <w:rFonts w:ascii="Verdana" w:cs="Times New Roman" w:eastAsia="Times New Roman" w:hAnsi="Verdana"/>
          <w:color w:val="333333"/>
          <w:sz w:val="18"/>
          <w:szCs w:val="18"/>
        </w:rPr>
      </w:pPr>
      <w:r>
        <w:rPr>
          <w:rFonts w:ascii="Verdana" w:cs="Times New Roman" w:eastAsia="Times New Roman" w:hAnsi="Verdana"/>
          <w:color w:val="333333"/>
          <w:sz w:val="18"/>
          <w:szCs w:val="18"/>
        </w:rPr>
        <w:t>This will provide you with the knowledge of the contemporary field of environmental policy, planning, and management in the Bangladesh and international context. It also prepares you to address many of the challenges faced by our environment locally and globally. The program bridges the gap between science and management, incorporating fundamental biophysical and social sciences and multidisciplinary skills in environmental management, decision making and policy analysis. </w:t>
      </w:r>
    </w:p>
    <w:p>
      <w:pPr>
        <w:pStyle w:val="style0"/>
        <w:spacing w:before="100" w:beforeAutospacing="true" w:after="100" w:afterAutospacing="true" w:lineRule="auto" w:line="240"/>
        <w:rPr>
          <w:rFonts w:ascii="Verdana" w:cs="Times New Roman" w:eastAsia="Times New Roman" w:hAnsi="Verdana"/>
          <w:color w:val="333333"/>
          <w:sz w:val="18"/>
          <w:szCs w:val="18"/>
        </w:rPr>
      </w:pPr>
      <w:r>
        <w:rPr>
          <w:rFonts w:ascii="Verdana" w:cs="Times New Roman" w:eastAsia="Times New Roman" w:hAnsi="Verdana"/>
          <w:b/>
          <w:bCs/>
          <w:color w:val="333333"/>
          <w:sz w:val="18"/>
          <w:szCs w:val="18"/>
        </w:rPr>
        <w:t>Management Concentration Core Courses (15 credits):</w:t>
      </w:r>
    </w:p>
    <w:tbl>
      <w:tblPr>
        <w:tblW w:w="870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firstRow="0" w:lastRow="0" w:firstColumn="0" w:lastColumn="0" w:noHBand="0" w:noVBand="1"/>
      </w:tblPr>
      <w:tblGrid>
        <w:gridCol w:w="4350"/>
        <w:gridCol w:w="4350"/>
      </w:tblGrid>
      <w:tr>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ECO 134</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Applies Mathematics I</w:t>
            </w:r>
          </w:p>
        </w:tc>
      </w:tr>
      <w:tr>
        <w:tblPrEx/>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MGT 210</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Principles of Management</w:t>
            </w:r>
          </w:p>
        </w:tc>
      </w:tr>
      <w:tr>
        <w:tblPrEx/>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372</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Techniques of Environmental Valuation</w:t>
            </w:r>
          </w:p>
        </w:tc>
      </w:tr>
      <w:tr>
        <w:tblPrEx/>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403</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Global Environmental Issues and Politics</w:t>
            </w:r>
          </w:p>
        </w:tc>
      </w:tr>
      <w:tr>
        <w:tblPrEx/>
        <w:trPr>
          <w:tblCellSpacing w:w="7" w:type="dxa"/>
        </w:trPr>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432</w:t>
            </w:r>
          </w:p>
        </w:tc>
        <w:tc>
          <w:tcPr>
            <w:tcW w:w="35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Corporate Environmental Management (pre-requisite ENV 214)</w:t>
            </w:r>
          </w:p>
        </w:tc>
      </w:tr>
    </w:tbl>
    <w:p>
      <w:pPr>
        <w:pStyle w:val="style0"/>
        <w:spacing w:before="100" w:beforeAutospacing="true" w:after="100" w:afterAutospacing="true" w:lineRule="auto" w:line="240"/>
        <w:rPr>
          <w:rFonts w:ascii="Verdana" w:cs="Times New Roman" w:eastAsia="Times New Roman" w:hAnsi="Verdana"/>
          <w:color w:val="333333"/>
          <w:sz w:val="18"/>
          <w:szCs w:val="18"/>
        </w:rPr>
      </w:pPr>
      <w:r>
        <w:rPr>
          <w:rFonts w:ascii="Verdana" w:cs="Times New Roman" w:eastAsia="Times New Roman" w:hAnsi="Verdana"/>
          <w:b/>
          <w:bCs/>
          <w:color w:val="333333"/>
          <w:sz w:val="18"/>
          <w:szCs w:val="18"/>
        </w:rPr>
        <w:br/>
      </w:r>
      <w:r>
        <w:rPr>
          <w:rFonts w:ascii="Verdana" w:cs="Times New Roman" w:eastAsia="Times New Roman" w:hAnsi="Verdana"/>
          <w:b/>
          <w:bCs/>
          <w:color w:val="333333"/>
          <w:sz w:val="18"/>
          <w:szCs w:val="18"/>
        </w:rPr>
        <w:t>Management Concentration Elective Courses (15 credits):</w:t>
      </w:r>
    </w:p>
    <w:tbl>
      <w:tblPr>
        <w:tblW w:w="870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firstRow="0" w:lastRow="0" w:firstColumn="0" w:lastColumn="0" w:noHBand="0" w:noVBand="1"/>
      </w:tblPr>
      <w:tblGrid>
        <w:gridCol w:w="4350"/>
        <w:gridCol w:w="4350"/>
      </w:tblGrid>
      <w:tr>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206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Environmental Sociology</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306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Sustainable Rural Community Design</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317</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Environmental Psychology</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318</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Gender Issues and Sustainable Development</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321</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Environmental Organizations</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354/ECO 354</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Environmental and Natural Resources Economics</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380</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 and Mass Communications</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404</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Environmental Issues in Bangladesh</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406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Trade, Technology Transfer and Environment</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412</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Coastal Zone Management</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416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Environmental Negotiations and Mediations</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417</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 Conflict and Security</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418</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Conservation and Sustainable Development</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421/ECO 486</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Energy Economics and Policy</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431</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Culture, Religion and Environment</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434</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Environmental Accounting</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495</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Environmental Research Using Geographical Information System (</w:t>
            </w:r>
            <w:r>
              <w:rPr>
                <w:rFonts w:ascii="Verdana" w:cs="Times New Roman" w:eastAsia="Times New Roman" w:hAnsi="Verdana"/>
                <w:b/>
                <w:bCs/>
                <w:i/>
                <w:iCs/>
                <w:color w:val="000000"/>
                <w:sz w:val="18"/>
                <w:szCs w:val="18"/>
              </w:rPr>
              <w:t>1 credit</w:t>
            </w:r>
            <w:r>
              <w:rPr>
                <w:rFonts w:ascii="Verdana" w:cs="Times New Roman" w:eastAsia="Times New Roman" w:hAnsi="Verdana"/>
                <w:color w:val="000000"/>
                <w:sz w:val="18"/>
                <w:szCs w:val="18"/>
              </w:rPr>
              <w:t>)</w:t>
            </w:r>
          </w:p>
        </w:tc>
      </w:tr>
      <w:tr>
        <w:tblPrEx/>
        <w:trPr>
          <w:tblCellSpacing w:w="7" w:type="dxa"/>
        </w:trPr>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ENV 497</w:t>
            </w:r>
          </w:p>
        </w:tc>
        <w:tc>
          <w:tcPr>
            <w:tcW w:w="237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color w:val="000000"/>
                <w:sz w:val="18"/>
                <w:szCs w:val="18"/>
              </w:rPr>
              <w:t>Special Topic in Environmental Studies</w:t>
            </w:r>
          </w:p>
        </w:tc>
      </w:tr>
    </w:tbl>
    <w:p>
      <w:pPr>
        <w:pStyle w:val="style0"/>
        <w:spacing w:before="100" w:beforeAutospacing="true" w:after="100" w:afterAutospacing="true" w:lineRule="auto" w:line="240"/>
        <w:rPr>
          <w:rFonts w:ascii="Verdana" w:cs="Times New Roman" w:eastAsia="Times New Roman" w:hAnsi="Verdana"/>
          <w:color w:val="333333"/>
          <w:sz w:val="18"/>
          <w:szCs w:val="18"/>
        </w:rPr>
      </w:pPr>
      <w:r>
        <w:rPr>
          <w:rFonts w:ascii="Verdana" w:cs="Times New Roman" w:eastAsia="Times New Roman" w:hAnsi="Verdana"/>
          <w:color w:val="333333"/>
          <w:sz w:val="18"/>
          <w:szCs w:val="18"/>
        </w:rPr>
        <w:t> </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firstRow="0" w:lastRow="0" w:firstColumn="0" w:lastColumn="0" w:noHBand="0" w:noVBand="1"/>
      </w:tblPr>
      <w:tblGrid>
        <w:gridCol w:w="4327"/>
        <w:gridCol w:w="4328"/>
      </w:tblGrid>
      <w:tr>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 Core Courses</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jc w:val="center"/>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82</w:t>
            </w:r>
          </w:p>
        </w:tc>
      </w:tr>
      <w:tr>
        <w:tblPrEx/>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 Concentration Core Courses</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jc w:val="center"/>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15</w:t>
            </w:r>
          </w:p>
        </w:tc>
      </w:tr>
      <w:tr>
        <w:tblPrEx/>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 Concentration Elective Courses       </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jc w:val="center"/>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15</w:t>
            </w:r>
          </w:p>
        </w:tc>
      </w:tr>
      <w:tr>
        <w:tblPrEx/>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 GED Courses</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      (incl. ENG 103 &amp; ENG 105)                             12</w:t>
            </w:r>
          </w:p>
        </w:tc>
      </w:tr>
      <w:tr>
        <w:tblPrEx/>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 Open Elective Courses</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jc w:val="center"/>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06</w:t>
            </w:r>
          </w:p>
        </w:tc>
      </w:tr>
      <w:tr>
        <w:tblPrEx/>
        <w:trPr>
          <w:tblCellSpacing w:w="0" w:type="dxa"/>
        </w:trPr>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 Total</w:t>
            </w:r>
          </w:p>
        </w:tc>
        <w:tc>
          <w:tcPr>
            <w:tcW w:w="3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FitText w:val="false"/>
            <w:hideMark/>
          </w:tcPr>
          <w:p>
            <w:pPr>
              <w:pStyle w:val="style0"/>
              <w:spacing w:before="100" w:beforeAutospacing="true" w:after="100" w:afterAutospacing="true" w:lineRule="auto" w:line="240"/>
              <w:ind w:left="120" w:right="120"/>
              <w:jc w:val="center"/>
              <w:rPr>
                <w:rFonts w:ascii="Verdana" w:cs="Times New Roman" w:eastAsia="Times New Roman" w:hAnsi="Verdana"/>
                <w:color w:val="000000"/>
                <w:sz w:val="18"/>
                <w:szCs w:val="18"/>
              </w:rPr>
            </w:pPr>
            <w:r>
              <w:rPr>
                <w:rFonts w:ascii="Verdana" w:cs="Times New Roman" w:eastAsia="Times New Roman" w:hAnsi="Verdana"/>
                <w:b/>
                <w:bCs/>
                <w:color w:val="000000"/>
                <w:sz w:val="18"/>
                <w:szCs w:val="18"/>
              </w:rPr>
              <w:t>130</w:t>
            </w:r>
          </w:p>
        </w:tc>
      </w:tr>
    </w:tbl>
    <w:p>
      <w:pPr>
        <w:pStyle w:val="style0"/>
        <w:spacing w:before="100" w:beforeAutospacing="true" w:after="100" w:afterAutospacing="true" w:lineRule="auto" w:line="240"/>
        <w:rPr/>
      </w:pPr>
      <w:r>
        <w:rPr>
          <w:rFonts w:ascii="Verdana" w:cs="Times New Roman" w:eastAsia="Times New Roman" w:hAnsi="Verdana"/>
          <w:color w:val="333333"/>
          <w:sz w:val="18"/>
          <w:szCs w:val="18"/>
          <w:shd w:val="clear" w:color="auto" w:fill="ffffff"/>
        </w:rPr>
        <w:t xml:space="preserve">Old </w:t>
      </w:r>
      <w:r>
        <w:rPr>
          <w:rFonts w:ascii="Verdana" w:cs="Times New Roman" w:eastAsia="Times New Roman" w:hAnsi="Verdana"/>
          <w:color w:val="333333"/>
          <w:sz w:val="18"/>
          <w:szCs w:val="18"/>
          <w:shd w:val="clear" w:color="auto" w:fill="ffffff"/>
        </w:rPr>
        <w:t>Informaiton</w:t>
      </w:r>
      <w:r>
        <w:rPr>
          <w:rFonts w:ascii="Verdana" w:cs="Times New Roman" w:eastAsia="Times New Roman" w:hAnsi="Verdana"/>
          <w:color w:val="333333"/>
          <w:sz w:val="18"/>
          <w:szCs w:val="18"/>
          <w:shd w:val="clear" w:color="auto" w:fill="ffffff"/>
        </w:rPr>
        <w:t xml:space="preserve"> before 07-08-2014</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Verdana">
    <w:altName w:val="Verdana"/>
    <w:panose1 w:val="020b0604030005040204"/>
    <w:charset w:val="00"/>
    <w:family w:val="swiss"/>
    <w:pitch w:val="variable"/>
    <w:sig w:usb0="A10006FF" w:usb1="4000205B" w:usb2="0000001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3">
    <w:name w:val="heading 3"/>
    <w:basedOn w:val="style0"/>
    <w:next w:val="style3"/>
    <w:link w:val="style12291"/>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12291">
    <w:name w:val="Heading 3 Char"/>
    <w:basedOn w:val="style65"/>
    <w:next w:val="style12291"/>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customStyle="1" w:styleId="style4097">
    <w:name w:val="justifyleft"/>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736</Words>
  <Characters>4132</Characters>
  <Application>Kingsoft Office Writer</Application>
  <DocSecurity>0</DocSecurity>
  <Paragraphs>282</Paragraphs>
  <ScaleCrop>false</ScaleCrop>
  <Company>Microsoft Corporation</Company>
  <LinksUpToDate>false</LinksUpToDate>
  <CharactersWithSpaces>4598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2017-05-06T17:35:00Z</dcterms:created>
  <dc:creator>User</dc:creator>
  <lastModifiedBy>Kingsoft Office</lastModifiedBy>
  <dcterms:modified xsi:type="dcterms:W3CDTF">2018-01-05T05:31:34Z</dcterms:modified>
  <revision>7</revision>
</coreProperties>
</file>